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457F" w14:textId="77777777" w:rsidR="00E87CA0" w:rsidRPr="00E87CA0" w:rsidRDefault="00E87CA0" w:rsidP="00E87CA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87CA0">
        <w:rPr>
          <w:rFonts w:ascii="Lato" w:eastAsia="Times New Roman" w:hAnsi="Lato" w:cs="Times New Roman"/>
          <w:color w:val="CC3300"/>
          <w:kern w:val="36"/>
          <w:sz w:val="36"/>
          <w:szCs w:val="36"/>
          <w:lang w:eastAsia="fr-BE"/>
          <w14:ligatures w14:val="none"/>
        </w:rPr>
        <w:t>Les primes européennes peu attractives pour les exportateurs</w:t>
      </w:r>
    </w:p>
    <w:p w14:paraId="309879C9" w14:textId="77777777" w:rsidR="00E87CA0" w:rsidRDefault="00E87CA0" w:rsidP="00E87CA0">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1BF0B95" w14:textId="369FA28F"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b/>
          <w:bCs/>
          <w:color w:val="000000"/>
          <w:kern w:val="0"/>
          <w:sz w:val="23"/>
          <w:szCs w:val="23"/>
          <w:lang w:eastAsia="fr-BE"/>
          <w14:ligatures w14:val="none"/>
        </w:rPr>
        <w:t>Les primes finalisées sur le marché de l’aluminium ont évolué à la marge, les facteurs à l’œuvre la semaine passée étant toujours d’actualité. Les primes nouées sur les marchés du cuivre et du nickel ont progressé, soutenues par des tensions sur les disponibilités.</w:t>
      </w:r>
    </w:p>
    <w:p w14:paraId="092C2AE0"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br/>
      </w:r>
      <w:r w:rsidRPr="00E87CA0">
        <w:rPr>
          <w:rFonts w:ascii="Lato" w:eastAsia="Times New Roman" w:hAnsi="Lato" w:cs="Times New Roman"/>
          <w:b/>
          <w:bCs/>
          <w:color w:val="000000"/>
          <w:kern w:val="0"/>
          <w:sz w:val="23"/>
          <w:szCs w:val="23"/>
          <w:lang w:eastAsia="fr-BE"/>
          <w14:ligatures w14:val="none"/>
        </w:rPr>
        <w:t>Aluminium : peu d’évolution</w:t>
      </w:r>
    </w:p>
    <w:p w14:paraId="7E757B62"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Pas d’évolution notable sur le marché des primes européennes. Celles finalisées sur les </w:t>
      </w:r>
      <w:r w:rsidRPr="00E87CA0">
        <w:rPr>
          <w:rFonts w:ascii="Lato" w:eastAsia="Times New Roman" w:hAnsi="Lato" w:cs="Times New Roman"/>
          <w:color w:val="000000"/>
          <w:kern w:val="0"/>
          <w:sz w:val="23"/>
          <w:szCs w:val="23"/>
          <w:u w:val="single"/>
          <w:lang w:eastAsia="fr-BE"/>
          <w14:ligatures w14:val="none"/>
        </w:rPr>
        <w:t>lingots P1020 dédouanés</w:t>
      </w:r>
      <w:r w:rsidRPr="00E87CA0">
        <w:rPr>
          <w:rFonts w:ascii="Lato" w:eastAsia="Times New Roman" w:hAnsi="Lato" w:cs="Times New Roman"/>
          <w:color w:val="000000"/>
          <w:kern w:val="0"/>
          <w:sz w:val="23"/>
          <w:szCs w:val="23"/>
          <w:lang w:eastAsia="fr-BE"/>
          <w14:ligatures w14:val="none"/>
        </w:rPr>
        <w:t>, au départ des entrepôts de </w:t>
      </w:r>
      <w:r w:rsidRPr="00E87CA0">
        <w:rPr>
          <w:rFonts w:ascii="Lato" w:eastAsia="Times New Roman" w:hAnsi="Lato" w:cs="Times New Roman"/>
          <w:b/>
          <w:bCs/>
          <w:color w:val="000000"/>
          <w:kern w:val="0"/>
          <w:sz w:val="23"/>
          <w:szCs w:val="23"/>
          <w:lang w:eastAsia="fr-BE"/>
          <w14:ligatures w14:val="none"/>
        </w:rPr>
        <w:t>Rotterdam</w:t>
      </w:r>
      <w:r w:rsidRPr="00E87CA0">
        <w:rPr>
          <w:rFonts w:ascii="Lato" w:eastAsia="Times New Roman" w:hAnsi="Lato" w:cs="Times New Roman"/>
          <w:color w:val="000000"/>
          <w:kern w:val="0"/>
          <w:sz w:val="23"/>
          <w:szCs w:val="23"/>
          <w:lang w:eastAsia="fr-BE"/>
          <w14:ligatures w14:val="none"/>
        </w:rPr>
        <w:t>, demeurent à 180-215 $/t. Elles ont, cette semaine encore, été scellées dans une fourchette étendue, entre 165 et 230 $/t. Le </w:t>
      </w:r>
      <w:proofErr w:type="spellStart"/>
      <w:r w:rsidRPr="00E87CA0">
        <w:rPr>
          <w:rFonts w:ascii="Lato" w:eastAsia="Times New Roman" w:hAnsi="Lato" w:cs="Times New Roman"/>
          <w:i/>
          <w:iCs/>
          <w:color w:val="000000"/>
          <w:kern w:val="0"/>
          <w:sz w:val="23"/>
          <w:szCs w:val="23"/>
          <w:lang w:eastAsia="fr-BE"/>
          <w14:ligatures w14:val="none"/>
        </w:rPr>
        <w:t>contango</w:t>
      </w:r>
      <w:proofErr w:type="spellEnd"/>
      <w:r w:rsidRPr="00E87CA0">
        <w:rPr>
          <w:rFonts w:ascii="Lato" w:eastAsia="Times New Roman" w:hAnsi="Lato" w:cs="Times New Roman"/>
          <w:color w:val="000000"/>
          <w:kern w:val="0"/>
          <w:sz w:val="23"/>
          <w:szCs w:val="23"/>
          <w:lang w:eastAsia="fr-BE"/>
          <w14:ligatures w14:val="none"/>
        </w:rPr>
        <w:t>, à plus de 30 $/t, permet aux opérateurs de conserver le métal dans les entrepôts sans ressentir de pression à la vente. « </w:t>
      </w:r>
      <w:r w:rsidRPr="00E87CA0">
        <w:rPr>
          <w:rFonts w:ascii="Lato" w:eastAsia="Times New Roman" w:hAnsi="Lato" w:cs="Times New Roman"/>
          <w:i/>
          <w:iCs/>
          <w:color w:val="000000"/>
          <w:kern w:val="0"/>
          <w:sz w:val="23"/>
          <w:szCs w:val="23"/>
          <w:lang w:eastAsia="fr-BE"/>
          <w14:ligatures w14:val="none"/>
        </w:rPr>
        <w:t>Les secteurs en amont consomment un peu de métal, mais leur demande ne s’est pas fondamentalement améliorée. La demande en billettes est également sans relief </w:t>
      </w:r>
      <w:r w:rsidRPr="00E87CA0">
        <w:rPr>
          <w:rFonts w:ascii="Lato" w:eastAsia="Times New Roman" w:hAnsi="Lato" w:cs="Times New Roman"/>
          <w:color w:val="000000"/>
          <w:kern w:val="0"/>
          <w:sz w:val="23"/>
          <w:szCs w:val="23"/>
          <w:lang w:eastAsia="fr-BE"/>
          <w14:ligatures w14:val="none"/>
        </w:rPr>
        <w:t>», indique un consommateur. La BCE a abaissé son taux directeur de 25 points de base le 23 avril, mais d’aucuns soulignent que les effets ne se feront ressentir que d’ici plusieurs mois, bien qu’en attendant, la baisse soutient les primes. Certains vendeurs indiquent pouvoir vendre sans trop de difficultés vers le haut de la fourchette quand il s’agit de tonnages peu conséquents.</w:t>
      </w:r>
    </w:p>
    <w:p w14:paraId="7C0B5EA7"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Les primes nouées sur les </w:t>
      </w:r>
      <w:r w:rsidRPr="00E87CA0">
        <w:rPr>
          <w:rFonts w:ascii="Lato" w:eastAsia="Times New Roman" w:hAnsi="Lato" w:cs="Times New Roman"/>
          <w:color w:val="000000"/>
          <w:kern w:val="0"/>
          <w:sz w:val="23"/>
          <w:szCs w:val="23"/>
          <w:u w:val="single"/>
          <w:lang w:eastAsia="fr-BE"/>
          <w14:ligatures w14:val="none"/>
        </w:rPr>
        <w:t>lingots non dédouanés</w:t>
      </w:r>
      <w:r w:rsidRPr="00E87CA0">
        <w:rPr>
          <w:rFonts w:ascii="Lato" w:eastAsia="Times New Roman" w:hAnsi="Lato" w:cs="Times New Roman"/>
          <w:color w:val="000000"/>
          <w:kern w:val="0"/>
          <w:sz w:val="23"/>
          <w:szCs w:val="23"/>
          <w:lang w:eastAsia="fr-BE"/>
          <w14:ligatures w14:val="none"/>
        </w:rPr>
        <w:t>, au départ de </w:t>
      </w:r>
      <w:r w:rsidRPr="00E87CA0">
        <w:rPr>
          <w:rFonts w:ascii="Lato" w:eastAsia="Times New Roman" w:hAnsi="Lato" w:cs="Times New Roman"/>
          <w:b/>
          <w:bCs/>
          <w:color w:val="000000"/>
          <w:kern w:val="0"/>
          <w:sz w:val="23"/>
          <w:szCs w:val="23"/>
          <w:lang w:eastAsia="fr-BE"/>
          <w14:ligatures w14:val="none"/>
        </w:rPr>
        <w:t>Rotterdam</w:t>
      </w:r>
      <w:r w:rsidRPr="00E87CA0">
        <w:rPr>
          <w:rFonts w:ascii="Lato" w:eastAsia="Times New Roman" w:hAnsi="Lato" w:cs="Times New Roman"/>
          <w:color w:val="000000"/>
          <w:kern w:val="0"/>
          <w:sz w:val="23"/>
          <w:szCs w:val="23"/>
          <w:lang w:eastAsia="fr-BE"/>
          <w14:ligatures w14:val="none"/>
        </w:rPr>
        <w:t>, se sont tassées à 170-190 $/t. « </w:t>
      </w:r>
      <w:r w:rsidRPr="00E87CA0">
        <w:rPr>
          <w:rFonts w:ascii="Lato" w:eastAsia="Times New Roman" w:hAnsi="Lato" w:cs="Times New Roman"/>
          <w:i/>
          <w:iCs/>
          <w:color w:val="000000"/>
          <w:kern w:val="0"/>
          <w:sz w:val="23"/>
          <w:szCs w:val="23"/>
          <w:lang w:eastAsia="fr-BE"/>
          <w14:ligatures w14:val="none"/>
        </w:rPr>
        <w:t>La demande spot sur ce marché est inexistante et les importations européennes sont ténues </w:t>
      </w:r>
      <w:r w:rsidRPr="00E87CA0">
        <w:rPr>
          <w:rFonts w:ascii="Lato" w:eastAsia="Times New Roman" w:hAnsi="Lato" w:cs="Times New Roman"/>
          <w:color w:val="000000"/>
          <w:kern w:val="0"/>
          <w:sz w:val="23"/>
          <w:szCs w:val="23"/>
          <w:lang w:eastAsia="fr-BE"/>
          <w14:ligatures w14:val="none"/>
        </w:rPr>
        <w:t>», indique un opérateur. Les acteurs du marché gardent un œil sur les primes au départ des principaux ports japonais, qui servent d’indicateur aux producteurs et aux traders pour exporter de l’Asie vers l’Europe. « </w:t>
      </w:r>
      <w:r w:rsidRPr="00E87CA0">
        <w:rPr>
          <w:rFonts w:ascii="Lato" w:eastAsia="Times New Roman" w:hAnsi="Lato" w:cs="Times New Roman"/>
          <w:i/>
          <w:iCs/>
          <w:color w:val="000000"/>
          <w:kern w:val="0"/>
          <w:sz w:val="23"/>
          <w:szCs w:val="23"/>
          <w:lang w:eastAsia="fr-BE"/>
          <w14:ligatures w14:val="none"/>
        </w:rPr>
        <w:t>Actuellement, le coût du transport pour exporter des lingots vers l’Europe s’établit entre 50 et 60 $/t, les exportations ne sont donc pas rentables</w:t>
      </w:r>
      <w:r w:rsidRPr="00E87CA0">
        <w:rPr>
          <w:rFonts w:ascii="Lato" w:eastAsia="Times New Roman" w:hAnsi="Lato" w:cs="Times New Roman"/>
          <w:color w:val="000000"/>
          <w:kern w:val="0"/>
          <w:sz w:val="23"/>
          <w:szCs w:val="23"/>
          <w:lang w:eastAsia="fr-BE"/>
          <w14:ligatures w14:val="none"/>
        </w:rPr>
        <w:t> », estime un deuxième trader.</w:t>
      </w:r>
    </w:p>
    <w:p w14:paraId="5B3B16D7"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En </w:t>
      </w:r>
      <w:r w:rsidRPr="00E87CA0">
        <w:rPr>
          <w:rFonts w:ascii="Lato" w:eastAsia="Times New Roman" w:hAnsi="Lato" w:cs="Times New Roman"/>
          <w:b/>
          <w:bCs/>
          <w:color w:val="000000"/>
          <w:kern w:val="0"/>
          <w:sz w:val="23"/>
          <w:szCs w:val="23"/>
          <w:lang w:eastAsia="fr-BE"/>
          <w14:ligatures w14:val="none"/>
        </w:rPr>
        <w:t>Italie</w:t>
      </w:r>
      <w:r w:rsidRPr="00E87CA0">
        <w:rPr>
          <w:rFonts w:ascii="Lato" w:eastAsia="Times New Roman" w:hAnsi="Lato" w:cs="Times New Roman"/>
          <w:color w:val="000000"/>
          <w:kern w:val="0"/>
          <w:sz w:val="23"/>
          <w:szCs w:val="23"/>
          <w:lang w:eastAsia="fr-BE"/>
          <w14:ligatures w14:val="none"/>
        </w:rPr>
        <w:t>, les primes sur les </w:t>
      </w:r>
      <w:r w:rsidRPr="00E87CA0">
        <w:rPr>
          <w:rFonts w:ascii="Lato" w:eastAsia="Times New Roman" w:hAnsi="Lato" w:cs="Times New Roman"/>
          <w:color w:val="000000"/>
          <w:kern w:val="0"/>
          <w:sz w:val="23"/>
          <w:szCs w:val="23"/>
          <w:u w:val="single"/>
          <w:lang w:eastAsia="fr-BE"/>
          <w14:ligatures w14:val="none"/>
        </w:rPr>
        <w:t>lingots P1020 dédouanés</w:t>
      </w:r>
      <w:r w:rsidRPr="00E87CA0">
        <w:rPr>
          <w:rFonts w:ascii="Lato" w:eastAsia="Times New Roman" w:hAnsi="Lato" w:cs="Times New Roman"/>
          <w:color w:val="000000"/>
          <w:kern w:val="0"/>
          <w:sz w:val="23"/>
          <w:szCs w:val="23"/>
          <w:lang w:eastAsia="fr-BE"/>
          <w14:ligatures w14:val="none"/>
        </w:rPr>
        <w:t>, disponibles sur une base FCA, ont progressé de 10 $ à la fourchette basse à 230-260 $/t. Plusieurs transactions ont été conclues entre 250 et 260 $/t, en raison de tensions sur les disponibilités, en particulier pour les </w:t>
      </w:r>
      <w:r w:rsidRPr="00E87CA0">
        <w:rPr>
          <w:rFonts w:ascii="Lato" w:eastAsia="Times New Roman" w:hAnsi="Lato" w:cs="Times New Roman"/>
          <w:color w:val="000000"/>
          <w:kern w:val="0"/>
          <w:sz w:val="23"/>
          <w:szCs w:val="23"/>
          <w:u w:val="single"/>
          <w:lang w:eastAsia="fr-BE"/>
          <w14:ligatures w14:val="none"/>
        </w:rPr>
        <w:t>lingots P0610</w:t>
      </w:r>
      <w:r w:rsidRPr="00E87CA0">
        <w:rPr>
          <w:rFonts w:ascii="Lato" w:eastAsia="Times New Roman" w:hAnsi="Lato" w:cs="Times New Roman"/>
          <w:color w:val="000000"/>
          <w:kern w:val="0"/>
          <w:sz w:val="23"/>
          <w:szCs w:val="23"/>
          <w:lang w:eastAsia="fr-BE"/>
          <w14:ligatures w14:val="none"/>
        </w:rPr>
        <w:t>. « </w:t>
      </w:r>
      <w:r w:rsidRPr="00E87CA0">
        <w:rPr>
          <w:rFonts w:ascii="Lato" w:eastAsia="Times New Roman" w:hAnsi="Lato" w:cs="Times New Roman"/>
          <w:i/>
          <w:iCs/>
          <w:color w:val="000000"/>
          <w:kern w:val="0"/>
          <w:sz w:val="23"/>
          <w:szCs w:val="23"/>
          <w:lang w:eastAsia="fr-BE"/>
          <w14:ligatures w14:val="none"/>
        </w:rPr>
        <w:t>On peut aisément vendre entre 250 et 260 $/t s’il s’agit de lingots P0610 destinés aux consommateurs finaux </w:t>
      </w:r>
      <w:r w:rsidRPr="00E87CA0">
        <w:rPr>
          <w:rFonts w:ascii="Lato" w:eastAsia="Times New Roman" w:hAnsi="Lato" w:cs="Times New Roman"/>
          <w:color w:val="000000"/>
          <w:kern w:val="0"/>
          <w:sz w:val="23"/>
          <w:szCs w:val="23"/>
          <w:lang w:eastAsia="fr-BE"/>
          <w14:ligatures w14:val="none"/>
        </w:rPr>
        <w:t>», indique un troisième trader.</w:t>
      </w:r>
    </w:p>
    <w:p w14:paraId="04E81EC9"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 </w:t>
      </w:r>
    </w:p>
    <w:p w14:paraId="57F1AEFA"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b/>
          <w:bCs/>
          <w:color w:val="000000"/>
          <w:kern w:val="0"/>
          <w:sz w:val="23"/>
          <w:szCs w:val="23"/>
          <w:lang w:eastAsia="fr-BE"/>
          <w14:ligatures w14:val="none"/>
        </w:rPr>
        <w:t>Cuivre : en hausse en Allemagne</w:t>
      </w:r>
    </w:p>
    <w:p w14:paraId="6DD2A23B"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Les tensions sur les disponibilités sont palpables sur le continent après plusieurs semaines de livraisons massives en direction des Etats-Unis, les opérateurs cherchant à tirer profit de la robustesse des primes aux Etats-Unis alors que les consommateurs s’empressaient d’acheter avant l’instauration éventuelle de droits de douane. Les tensions s’expliquent également par les achats à bon compte réalisés au moment où le cuivre s’est rapproché de la barre des 8.000 $/t. « </w:t>
      </w:r>
      <w:r w:rsidRPr="00E87CA0">
        <w:rPr>
          <w:rFonts w:ascii="Lato" w:eastAsia="Times New Roman" w:hAnsi="Lato" w:cs="Times New Roman"/>
          <w:i/>
          <w:iCs/>
          <w:color w:val="000000"/>
          <w:kern w:val="0"/>
          <w:sz w:val="23"/>
          <w:szCs w:val="23"/>
          <w:lang w:eastAsia="fr-BE"/>
          <w14:ligatures w14:val="none"/>
        </w:rPr>
        <w:t>La plupart des producteurs n’ont rien à proposer </w:t>
      </w:r>
      <w:r w:rsidRPr="00E87CA0">
        <w:rPr>
          <w:rFonts w:ascii="Lato" w:eastAsia="Times New Roman" w:hAnsi="Lato" w:cs="Times New Roman"/>
          <w:color w:val="000000"/>
          <w:kern w:val="0"/>
          <w:sz w:val="23"/>
          <w:szCs w:val="23"/>
          <w:lang w:eastAsia="fr-BE"/>
          <w14:ligatures w14:val="none"/>
        </w:rPr>
        <w:t>», confirme un trader, ajoutant qu’il est difficile de mettre la main sur de quelconques volumes. Quelques acheteurs se sont présentés aux achats mais, malgré cela, les liquidités n’ont pas vraiment décollé.</w:t>
      </w:r>
    </w:p>
    <w:p w14:paraId="44A6A379"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Néanmoins, les primes sur les </w:t>
      </w:r>
      <w:r w:rsidRPr="00E87CA0">
        <w:rPr>
          <w:rFonts w:ascii="Lato" w:eastAsia="Times New Roman" w:hAnsi="Lato" w:cs="Times New Roman"/>
          <w:color w:val="000000"/>
          <w:kern w:val="0"/>
          <w:sz w:val="23"/>
          <w:szCs w:val="23"/>
          <w:u w:val="single"/>
          <w:lang w:eastAsia="fr-BE"/>
          <w14:ligatures w14:val="none"/>
        </w:rPr>
        <w:t>cathodes Grade A</w:t>
      </w:r>
      <w:r w:rsidRPr="00E87CA0">
        <w:rPr>
          <w:rFonts w:ascii="Lato" w:eastAsia="Times New Roman" w:hAnsi="Lato" w:cs="Times New Roman"/>
          <w:color w:val="000000"/>
          <w:kern w:val="0"/>
          <w:sz w:val="23"/>
          <w:szCs w:val="23"/>
          <w:lang w:eastAsia="fr-BE"/>
          <w14:ligatures w14:val="none"/>
        </w:rPr>
        <w:t> livrées en </w:t>
      </w:r>
      <w:r w:rsidRPr="00E87CA0">
        <w:rPr>
          <w:rFonts w:ascii="Lato" w:eastAsia="Times New Roman" w:hAnsi="Lato" w:cs="Times New Roman"/>
          <w:b/>
          <w:bCs/>
          <w:color w:val="000000"/>
          <w:kern w:val="0"/>
          <w:sz w:val="23"/>
          <w:szCs w:val="23"/>
          <w:lang w:eastAsia="fr-BE"/>
          <w14:ligatures w14:val="none"/>
        </w:rPr>
        <w:t>Allemagne</w:t>
      </w:r>
      <w:r w:rsidRPr="00E87CA0">
        <w:rPr>
          <w:rFonts w:ascii="Lato" w:eastAsia="Times New Roman" w:hAnsi="Lato" w:cs="Times New Roman"/>
          <w:color w:val="000000"/>
          <w:kern w:val="0"/>
          <w:sz w:val="23"/>
          <w:szCs w:val="23"/>
          <w:lang w:eastAsia="fr-BE"/>
          <w14:ligatures w14:val="none"/>
        </w:rPr>
        <w:t> ont progressé à 220-250 $/t, contre 210-245 $/t la semaine passée. Les primes sur les cathodes CIF </w:t>
      </w:r>
      <w:r w:rsidRPr="00E87CA0">
        <w:rPr>
          <w:rFonts w:ascii="Lato" w:eastAsia="Times New Roman" w:hAnsi="Lato" w:cs="Times New Roman"/>
          <w:b/>
          <w:bCs/>
          <w:color w:val="000000"/>
          <w:kern w:val="0"/>
          <w:sz w:val="23"/>
          <w:szCs w:val="23"/>
          <w:lang w:eastAsia="fr-BE"/>
          <w14:ligatures w14:val="none"/>
        </w:rPr>
        <w:t>Livourne </w:t>
      </w:r>
      <w:r w:rsidRPr="00E87CA0">
        <w:rPr>
          <w:rFonts w:ascii="Lato" w:eastAsia="Times New Roman" w:hAnsi="Lato" w:cs="Times New Roman"/>
          <w:color w:val="000000"/>
          <w:kern w:val="0"/>
          <w:sz w:val="23"/>
          <w:szCs w:val="23"/>
          <w:lang w:eastAsia="fr-BE"/>
          <w14:ligatures w14:val="none"/>
        </w:rPr>
        <w:t>(</w:t>
      </w:r>
      <w:r w:rsidRPr="00E87CA0">
        <w:rPr>
          <w:rFonts w:ascii="Lato" w:eastAsia="Times New Roman" w:hAnsi="Lato" w:cs="Times New Roman"/>
          <w:b/>
          <w:bCs/>
          <w:color w:val="000000"/>
          <w:kern w:val="0"/>
          <w:sz w:val="23"/>
          <w:szCs w:val="23"/>
          <w:lang w:eastAsia="fr-BE"/>
          <w14:ligatures w14:val="none"/>
        </w:rPr>
        <w:t>Italie</w:t>
      </w:r>
      <w:r w:rsidRPr="00E87CA0">
        <w:rPr>
          <w:rFonts w:ascii="Lato" w:eastAsia="Times New Roman" w:hAnsi="Lato" w:cs="Times New Roman"/>
          <w:color w:val="000000"/>
          <w:kern w:val="0"/>
          <w:sz w:val="23"/>
          <w:szCs w:val="23"/>
          <w:lang w:eastAsia="fr-BE"/>
          <w14:ligatures w14:val="none"/>
        </w:rPr>
        <w:t>) sont, elles, demeurées inchangées à 170-190 $/t. </w:t>
      </w:r>
      <w:r w:rsidRPr="00E87CA0">
        <w:rPr>
          <w:rFonts w:ascii="Lato" w:eastAsia="Times New Roman" w:hAnsi="Lato" w:cs="Times New Roman"/>
          <w:i/>
          <w:iCs/>
          <w:color w:val="000000"/>
          <w:kern w:val="0"/>
          <w:sz w:val="23"/>
          <w:szCs w:val="23"/>
          <w:lang w:eastAsia="fr-BE"/>
          <w14:ligatures w14:val="none"/>
        </w:rPr>
        <w:t>Idem </w:t>
      </w:r>
      <w:r w:rsidRPr="00E87CA0">
        <w:rPr>
          <w:rFonts w:ascii="Lato" w:eastAsia="Times New Roman" w:hAnsi="Lato" w:cs="Times New Roman"/>
          <w:color w:val="000000"/>
          <w:kern w:val="0"/>
          <w:sz w:val="23"/>
          <w:szCs w:val="23"/>
          <w:lang w:eastAsia="fr-BE"/>
          <w14:ligatures w14:val="none"/>
        </w:rPr>
        <w:t>pour les primes CIF </w:t>
      </w:r>
      <w:r w:rsidRPr="00E87CA0">
        <w:rPr>
          <w:rFonts w:ascii="Lato" w:eastAsia="Times New Roman" w:hAnsi="Lato" w:cs="Times New Roman"/>
          <w:b/>
          <w:bCs/>
          <w:color w:val="000000"/>
          <w:kern w:val="0"/>
          <w:sz w:val="23"/>
          <w:szCs w:val="23"/>
          <w:lang w:eastAsia="fr-BE"/>
          <w14:ligatures w14:val="none"/>
        </w:rPr>
        <w:t>Rotterdam</w:t>
      </w:r>
      <w:r w:rsidRPr="00E87CA0">
        <w:rPr>
          <w:rFonts w:ascii="Lato" w:eastAsia="Times New Roman" w:hAnsi="Lato" w:cs="Times New Roman"/>
          <w:color w:val="000000"/>
          <w:kern w:val="0"/>
          <w:sz w:val="23"/>
          <w:szCs w:val="23"/>
          <w:lang w:eastAsia="fr-BE"/>
          <w14:ligatures w14:val="none"/>
        </w:rPr>
        <w:t>, à 170-190 $/t.</w:t>
      </w:r>
    </w:p>
    <w:p w14:paraId="47DA447B"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b/>
          <w:bCs/>
          <w:color w:val="000000"/>
          <w:kern w:val="0"/>
          <w:sz w:val="23"/>
          <w:szCs w:val="23"/>
          <w:lang w:eastAsia="fr-BE"/>
          <w14:ligatures w14:val="none"/>
        </w:rPr>
        <w:lastRenderedPageBreak/>
        <w:t>Nickel : bond des briquettes</w:t>
      </w:r>
    </w:p>
    <w:p w14:paraId="1B81EF43" w14:textId="77777777" w:rsidR="00E87CA0" w:rsidRPr="00E87CA0" w:rsidRDefault="00E87CA0" w:rsidP="00E87CA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87CA0">
        <w:rPr>
          <w:rFonts w:ascii="Lato" w:eastAsia="Times New Roman" w:hAnsi="Lato" w:cs="Times New Roman"/>
          <w:color w:val="000000"/>
          <w:kern w:val="0"/>
          <w:sz w:val="23"/>
          <w:szCs w:val="23"/>
          <w:lang w:eastAsia="fr-BE"/>
          <w14:ligatures w14:val="none"/>
        </w:rPr>
        <w:t>Les primes sur les </w:t>
      </w:r>
      <w:r w:rsidRPr="00E87CA0">
        <w:rPr>
          <w:rFonts w:ascii="Lato" w:eastAsia="Times New Roman" w:hAnsi="Lato" w:cs="Times New Roman"/>
          <w:color w:val="000000"/>
          <w:kern w:val="0"/>
          <w:sz w:val="23"/>
          <w:szCs w:val="23"/>
          <w:u w:val="single"/>
          <w:lang w:eastAsia="fr-BE"/>
          <w14:ligatures w14:val="none"/>
        </w:rPr>
        <w:t>cathodes de nickel entières</w:t>
      </w:r>
      <w:r w:rsidRPr="00E87CA0">
        <w:rPr>
          <w:rFonts w:ascii="Lato" w:eastAsia="Times New Roman" w:hAnsi="Lato" w:cs="Times New Roman"/>
          <w:color w:val="000000"/>
          <w:kern w:val="0"/>
          <w:sz w:val="23"/>
          <w:szCs w:val="23"/>
          <w:lang w:eastAsia="fr-BE"/>
          <w14:ligatures w14:val="none"/>
        </w:rPr>
        <w:t>, au départ des entrepôts de </w:t>
      </w:r>
      <w:r w:rsidRPr="00E87CA0">
        <w:rPr>
          <w:rFonts w:ascii="Lato" w:eastAsia="Times New Roman" w:hAnsi="Lato" w:cs="Times New Roman"/>
          <w:b/>
          <w:bCs/>
          <w:color w:val="000000"/>
          <w:kern w:val="0"/>
          <w:sz w:val="23"/>
          <w:szCs w:val="23"/>
          <w:lang w:eastAsia="fr-BE"/>
          <w14:ligatures w14:val="none"/>
        </w:rPr>
        <w:t>Rotterdam</w:t>
      </w:r>
      <w:r w:rsidRPr="00E87CA0">
        <w:rPr>
          <w:rFonts w:ascii="Lato" w:eastAsia="Times New Roman" w:hAnsi="Lato" w:cs="Times New Roman"/>
          <w:color w:val="000000"/>
          <w:kern w:val="0"/>
          <w:sz w:val="23"/>
          <w:szCs w:val="23"/>
          <w:lang w:eastAsia="fr-BE"/>
          <w14:ligatures w14:val="none"/>
        </w:rPr>
        <w:t>, sont inchangées à 220-325 $/t sur une semaine. Elles demeurent fermes aux niveaux actuels. Ce marché est suffisamment approvisionné : au 28 avril, plus de 28.300 tonnes étaient entreposées dans les magasins de </w:t>
      </w:r>
      <w:r w:rsidRPr="00E87CA0">
        <w:rPr>
          <w:rFonts w:ascii="Lato" w:eastAsia="Times New Roman" w:hAnsi="Lato" w:cs="Times New Roman"/>
          <w:b/>
          <w:bCs/>
          <w:color w:val="000000"/>
          <w:kern w:val="0"/>
          <w:sz w:val="23"/>
          <w:szCs w:val="23"/>
          <w:lang w:eastAsia="fr-BE"/>
          <w14:ligatures w14:val="none"/>
        </w:rPr>
        <w:t>Rotterdam</w:t>
      </w:r>
      <w:r w:rsidRPr="00E87CA0">
        <w:rPr>
          <w:rFonts w:ascii="Lato" w:eastAsia="Times New Roman" w:hAnsi="Lato" w:cs="Times New Roman"/>
          <w:color w:val="000000"/>
          <w:kern w:val="0"/>
          <w:sz w:val="23"/>
          <w:szCs w:val="23"/>
          <w:lang w:eastAsia="fr-BE"/>
          <w14:ligatures w14:val="none"/>
        </w:rPr>
        <w:t>. Les stocks ont décliné de manière continue en avril ; le 1</w:t>
      </w:r>
      <w:r w:rsidRPr="00E87CA0">
        <w:rPr>
          <w:rFonts w:ascii="Lato" w:eastAsia="Times New Roman" w:hAnsi="Lato" w:cs="Times New Roman"/>
          <w:color w:val="000000"/>
          <w:kern w:val="0"/>
          <w:sz w:val="23"/>
          <w:szCs w:val="23"/>
          <w:vertAlign w:val="superscript"/>
          <w:lang w:eastAsia="fr-BE"/>
          <w14:ligatures w14:val="none"/>
        </w:rPr>
        <w:t>er</w:t>
      </w:r>
      <w:r w:rsidRPr="00E87CA0">
        <w:rPr>
          <w:rFonts w:ascii="Lato" w:eastAsia="Times New Roman" w:hAnsi="Lato" w:cs="Times New Roman"/>
          <w:color w:val="000000"/>
          <w:kern w:val="0"/>
          <w:sz w:val="23"/>
          <w:szCs w:val="23"/>
          <w:lang w:eastAsia="fr-BE"/>
          <w14:ligatures w14:val="none"/>
        </w:rPr>
        <w:t> avril, les magasins abritaient 39.642 tonnes. Les primes sur les </w:t>
      </w:r>
      <w:r w:rsidRPr="00E87CA0">
        <w:rPr>
          <w:rFonts w:ascii="Lato" w:eastAsia="Times New Roman" w:hAnsi="Lato" w:cs="Times New Roman"/>
          <w:color w:val="000000"/>
          <w:kern w:val="0"/>
          <w:sz w:val="23"/>
          <w:szCs w:val="23"/>
          <w:u w:val="single"/>
          <w:lang w:eastAsia="fr-BE"/>
          <w14:ligatures w14:val="none"/>
        </w:rPr>
        <w:t>cathodes coupées</w:t>
      </w:r>
      <w:r w:rsidRPr="00E87CA0">
        <w:rPr>
          <w:rFonts w:ascii="Lato" w:eastAsia="Times New Roman" w:hAnsi="Lato" w:cs="Times New Roman"/>
          <w:color w:val="000000"/>
          <w:kern w:val="0"/>
          <w:sz w:val="23"/>
          <w:szCs w:val="23"/>
          <w:lang w:eastAsia="fr-BE"/>
          <w14:ligatures w14:val="none"/>
        </w:rPr>
        <w:t> sont stables à 300-500 $/t et ce, depuis le 15 avril. Celles sur les </w:t>
      </w:r>
      <w:r w:rsidRPr="00E87CA0">
        <w:rPr>
          <w:rFonts w:ascii="Lato" w:eastAsia="Times New Roman" w:hAnsi="Lato" w:cs="Times New Roman"/>
          <w:color w:val="000000"/>
          <w:kern w:val="0"/>
          <w:sz w:val="23"/>
          <w:szCs w:val="23"/>
          <w:u w:val="single"/>
          <w:lang w:eastAsia="fr-BE"/>
          <w14:ligatures w14:val="none"/>
        </w:rPr>
        <w:t>briquettes de nickel</w:t>
      </w:r>
      <w:r w:rsidRPr="00E87CA0">
        <w:rPr>
          <w:rFonts w:ascii="Lato" w:eastAsia="Times New Roman" w:hAnsi="Lato" w:cs="Times New Roman"/>
          <w:color w:val="000000"/>
          <w:kern w:val="0"/>
          <w:sz w:val="23"/>
          <w:szCs w:val="23"/>
          <w:lang w:eastAsia="fr-BE"/>
          <w14:ligatures w14:val="none"/>
        </w:rPr>
        <w:t xml:space="preserve"> ont bondi à 500-620 $/t, contre 300-500 $/t la semaine passée. Elle se sont appréciées quatre fois en six semaines, en raison des tensions sur les disponibilités qui vont, en outre, s’accentuer, la bourse de Londres ayant annoncé, le 29 avril, fermer ses portes au métal provenant de la mine congolaise </w:t>
      </w:r>
      <w:proofErr w:type="spellStart"/>
      <w:r w:rsidRPr="00E87CA0">
        <w:rPr>
          <w:rFonts w:ascii="Lato" w:eastAsia="Times New Roman" w:hAnsi="Lato" w:cs="Times New Roman"/>
          <w:color w:val="000000"/>
          <w:kern w:val="0"/>
          <w:sz w:val="23"/>
          <w:szCs w:val="23"/>
          <w:lang w:eastAsia="fr-BE"/>
          <w14:ligatures w14:val="none"/>
        </w:rPr>
        <w:t>Ambatovy</w:t>
      </w:r>
      <w:proofErr w:type="spellEnd"/>
      <w:r w:rsidRPr="00E87CA0">
        <w:rPr>
          <w:rFonts w:ascii="Lato" w:eastAsia="Times New Roman" w:hAnsi="Lato" w:cs="Times New Roman"/>
          <w:color w:val="000000"/>
          <w:kern w:val="0"/>
          <w:sz w:val="23"/>
          <w:szCs w:val="23"/>
          <w:lang w:eastAsia="fr-BE"/>
          <w14:ligatures w14:val="none"/>
        </w:rPr>
        <w:t>.</w:t>
      </w:r>
    </w:p>
    <w:p w14:paraId="74A97C2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A0"/>
    <w:rsid w:val="00005A80"/>
    <w:rsid w:val="00287462"/>
    <w:rsid w:val="00E87C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CC2C"/>
  <w15:chartTrackingRefBased/>
  <w15:docId w15:val="{F6E2809D-018F-4835-8368-C764105B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7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7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87C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7C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7C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7C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7C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7C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7C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7C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7C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87C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7C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7C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7C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7C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7C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7CA0"/>
    <w:rPr>
      <w:rFonts w:eastAsiaTheme="majorEastAsia" w:cstheme="majorBidi"/>
      <w:color w:val="272727" w:themeColor="text1" w:themeTint="D8"/>
    </w:rPr>
  </w:style>
  <w:style w:type="paragraph" w:styleId="Titre">
    <w:name w:val="Title"/>
    <w:basedOn w:val="Normal"/>
    <w:next w:val="Normal"/>
    <w:link w:val="TitreCar"/>
    <w:uiPriority w:val="10"/>
    <w:qFormat/>
    <w:rsid w:val="00E8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7C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7C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7C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7CA0"/>
    <w:pPr>
      <w:spacing w:before="160"/>
      <w:jc w:val="center"/>
    </w:pPr>
    <w:rPr>
      <w:i/>
      <w:iCs/>
      <w:color w:val="404040" w:themeColor="text1" w:themeTint="BF"/>
    </w:rPr>
  </w:style>
  <w:style w:type="character" w:customStyle="1" w:styleId="CitationCar">
    <w:name w:val="Citation Car"/>
    <w:basedOn w:val="Policepardfaut"/>
    <w:link w:val="Citation"/>
    <w:uiPriority w:val="29"/>
    <w:rsid w:val="00E87CA0"/>
    <w:rPr>
      <w:i/>
      <w:iCs/>
      <w:color w:val="404040" w:themeColor="text1" w:themeTint="BF"/>
    </w:rPr>
  </w:style>
  <w:style w:type="paragraph" w:styleId="Paragraphedeliste">
    <w:name w:val="List Paragraph"/>
    <w:basedOn w:val="Normal"/>
    <w:uiPriority w:val="34"/>
    <w:qFormat/>
    <w:rsid w:val="00E87CA0"/>
    <w:pPr>
      <w:ind w:left="720"/>
      <w:contextualSpacing/>
    </w:pPr>
  </w:style>
  <w:style w:type="character" w:styleId="Accentuationintense">
    <w:name w:val="Intense Emphasis"/>
    <w:basedOn w:val="Policepardfaut"/>
    <w:uiPriority w:val="21"/>
    <w:qFormat/>
    <w:rsid w:val="00E87CA0"/>
    <w:rPr>
      <w:i/>
      <w:iCs/>
      <w:color w:val="0F4761" w:themeColor="accent1" w:themeShade="BF"/>
    </w:rPr>
  </w:style>
  <w:style w:type="paragraph" w:styleId="Citationintense">
    <w:name w:val="Intense Quote"/>
    <w:basedOn w:val="Normal"/>
    <w:next w:val="Normal"/>
    <w:link w:val="CitationintenseCar"/>
    <w:uiPriority w:val="30"/>
    <w:qFormat/>
    <w:rsid w:val="00E8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7CA0"/>
    <w:rPr>
      <w:i/>
      <w:iCs/>
      <w:color w:val="0F4761" w:themeColor="accent1" w:themeShade="BF"/>
    </w:rPr>
  </w:style>
  <w:style w:type="character" w:styleId="Rfrenceintense">
    <w:name w:val="Intense Reference"/>
    <w:basedOn w:val="Policepardfaut"/>
    <w:uiPriority w:val="32"/>
    <w:qFormat/>
    <w:rsid w:val="00E87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2025-05-06T06:54:00Z</dcterms:created>
  <dcterms:modified xsi:type="dcterms:W3CDTF">2025-05-06T06:54:00Z</dcterms:modified>
</cp:coreProperties>
</file>